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D1" w:rsidRPr="00636ED1" w:rsidRDefault="00636ED1" w:rsidP="00636ED1">
      <w:pPr>
        <w:spacing w:line="240" w:lineRule="auto"/>
        <w:ind w:right="1" w:firstLine="709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636ED1">
        <w:rPr>
          <w:rFonts w:ascii="Times New Roman" w:hAnsi="Times New Roman" w:cs="Times New Roman"/>
          <w:b/>
          <w:bCs/>
          <w:sz w:val="30"/>
          <w:szCs w:val="30"/>
        </w:rPr>
        <w:t>ПРИКАЗ МИНИСТЕРСТВА ЗДРАВООХРАНЕНИЯ РЕСПУБЛИКИ БЕЛАРУСЬ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36ED1">
        <w:rPr>
          <w:rFonts w:ascii="Times New Roman" w:hAnsi="Times New Roman" w:cs="Times New Roman"/>
          <w:b/>
          <w:bCs/>
          <w:sz w:val="30"/>
          <w:szCs w:val="30"/>
        </w:rPr>
        <w:t>31 мая 2012 г. N 669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636ED1" w:rsidRPr="00636ED1" w:rsidRDefault="00636ED1" w:rsidP="00636ED1">
      <w:pPr>
        <w:spacing w:line="240" w:lineRule="auto"/>
        <w:ind w:right="1" w:firstLine="709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36ED1">
        <w:rPr>
          <w:rFonts w:ascii="Times New Roman" w:hAnsi="Times New Roman" w:cs="Times New Roman"/>
          <w:b/>
          <w:bCs/>
          <w:sz w:val="30"/>
          <w:szCs w:val="30"/>
        </w:rPr>
        <w:t>О СОВЕРШЕНСТВОВАНИИ ОРГАНИЗАЦИИ ОКАЗАНИЯ МЕДИЦИНСКОЙ ПОМОЩИ ДЕТЯМ В УЧРЕЖДЕНИЯХ ОБРАЗОВАНИЯ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На основании Положения о Министерстве здравоохранения Республики Беларусь, утвержденного постановлением Совета Министров Республики Беларусь от 28.10.2011 N 1446 "О некоторых вопросах Министерства здравоохранения и мерах по реализации Указа Президента Республики Беларусь от 11 августа 2011 г. N 360", и в целях совершенствования организации оказания медицинской помощи детям в учреждениях образования Республики Беларусь ПРИКАЗЫВАЮ: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1. Утвердить </w:t>
      </w:r>
      <w:hyperlink w:anchor="Par23" w:history="1">
        <w:r w:rsidRPr="00636ED1">
          <w:rPr>
            <w:rStyle w:val="a3"/>
            <w:rFonts w:ascii="Times New Roman" w:hAnsi="Times New Roman" w:cs="Times New Roman"/>
            <w:sz w:val="30"/>
            <w:szCs w:val="30"/>
          </w:rPr>
          <w:t>Инструкцию</w:t>
        </w:r>
      </w:hyperlink>
      <w:r w:rsidRPr="00636ED1">
        <w:rPr>
          <w:rFonts w:ascii="Times New Roman" w:hAnsi="Times New Roman" w:cs="Times New Roman"/>
          <w:sz w:val="30"/>
          <w:szCs w:val="30"/>
        </w:rPr>
        <w:t xml:space="preserve"> об организации оказания медицинской помощи детям в учреждениях образования.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2. Считать утратившей силу </w:t>
      </w:r>
      <w:hyperlink r:id="rId4" w:history="1">
        <w:r w:rsidRPr="00636ED1">
          <w:rPr>
            <w:rStyle w:val="a3"/>
            <w:rFonts w:ascii="Times New Roman" w:hAnsi="Times New Roman" w:cs="Times New Roman"/>
            <w:sz w:val="30"/>
            <w:szCs w:val="30"/>
          </w:rPr>
          <w:t>Инструкцию</w:t>
        </w:r>
      </w:hyperlink>
      <w:r w:rsidRPr="00636ED1">
        <w:rPr>
          <w:rFonts w:ascii="Times New Roman" w:hAnsi="Times New Roman" w:cs="Times New Roman"/>
          <w:sz w:val="30"/>
          <w:szCs w:val="30"/>
        </w:rPr>
        <w:t xml:space="preserve"> об организации работы педиатрического отделения по медицинскому обслуживанию детей в учреждениях образования, утвержденную приказом Министерства здравоохранения от 31 декабря 2004 г. N 295 "Об утверждении инструкций об организации работы структурных подразделений детской поликлиники (детских отделений в составе поликлиник для взрослого населения)".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3. Начальникам управлений здравоохранения облисполкомов, председателю комитета по здравоохранению </w:t>
      </w:r>
      <w:proofErr w:type="spellStart"/>
      <w:r w:rsidRPr="00636ED1">
        <w:rPr>
          <w:rFonts w:ascii="Times New Roman" w:hAnsi="Times New Roman" w:cs="Times New Roman"/>
          <w:sz w:val="30"/>
          <w:szCs w:val="30"/>
        </w:rPr>
        <w:t>Мингорисполкома</w:t>
      </w:r>
      <w:proofErr w:type="spellEnd"/>
      <w:r w:rsidRPr="00636ED1">
        <w:rPr>
          <w:rFonts w:ascii="Times New Roman" w:hAnsi="Times New Roman" w:cs="Times New Roman"/>
          <w:sz w:val="30"/>
          <w:szCs w:val="30"/>
        </w:rPr>
        <w:t xml:space="preserve"> организовать работу по оказанию медицинской помощи детям в учреждениях образования в соответствии с настоящим приказом.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4. Контроль за исполнением настоящего приказа возложить на Первого заместителя Министра </w:t>
      </w:r>
      <w:proofErr w:type="spellStart"/>
      <w:r w:rsidRPr="00636ED1">
        <w:rPr>
          <w:rFonts w:ascii="Times New Roman" w:hAnsi="Times New Roman" w:cs="Times New Roman"/>
          <w:sz w:val="30"/>
          <w:szCs w:val="30"/>
        </w:rPr>
        <w:t>Пиневича</w:t>
      </w:r>
      <w:proofErr w:type="spellEnd"/>
      <w:r w:rsidRPr="00636ED1">
        <w:rPr>
          <w:rFonts w:ascii="Times New Roman" w:hAnsi="Times New Roman" w:cs="Times New Roman"/>
          <w:sz w:val="30"/>
          <w:szCs w:val="30"/>
        </w:rPr>
        <w:t xml:space="preserve"> Д.Л.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36ED1" w:rsidRPr="00636ED1">
        <w:tc>
          <w:tcPr>
            <w:tcW w:w="5103" w:type="dxa"/>
          </w:tcPr>
          <w:p w:rsidR="00636ED1" w:rsidRPr="00636ED1" w:rsidRDefault="00636ED1" w:rsidP="00636ED1">
            <w:pPr>
              <w:spacing w:line="240" w:lineRule="auto"/>
              <w:ind w:right="1" w:firstLine="709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36ED1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</w:p>
        </w:tc>
        <w:tc>
          <w:tcPr>
            <w:tcW w:w="5103" w:type="dxa"/>
          </w:tcPr>
          <w:p w:rsidR="00636ED1" w:rsidRPr="00636ED1" w:rsidRDefault="00636ED1" w:rsidP="00636ED1">
            <w:pPr>
              <w:spacing w:line="240" w:lineRule="auto"/>
              <w:ind w:right="1" w:firstLine="709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30"/>
                <w:szCs w:val="30"/>
              </w:rPr>
              <w:t>В.И.Жарко</w:t>
            </w:r>
            <w:proofErr w:type="spellEnd"/>
          </w:p>
        </w:tc>
      </w:tr>
    </w:tbl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Default="00636ED1" w:rsidP="00636ED1">
      <w:pPr>
        <w:spacing w:line="240" w:lineRule="auto"/>
        <w:ind w:left="2127"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Default="00636ED1" w:rsidP="00636ED1">
      <w:pPr>
        <w:spacing w:line="240" w:lineRule="auto"/>
        <w:ind w:left="2127"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Default="00636ED1" w:rsidP="00636ED1">
      <w:pPr>
        <w:spacing w:line="240" w:lineRule="auto"/>
        <w:ind w:left="2127"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Default="00636ED1" w:rsidP="00636ED1">
      <w:pPr>
        <w:spacing w:line="240" w:lineRule="auto"/>
        <w:ind w:left="2127"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Default="00636ED1" w:rsidP="00636ED1">
      <w:pPr>
        <w:spacing w:line="240" w:lineRule="auto"/>
        <w:ind w:left="2127"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Default="00636ED1" w:rsidP="00636ED1">
      <w:pPr>
        <w:spacing w:line="240" w:lineRule="auto"/>
        <w:ind w:left="2127"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Default="00636ED1" w:rsidP="00636ED1">
      <w:pPr>
        <w:spacing w:line="240" w:lineRule="auto"/>
        <w:ind w:left="2127"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Default="00636ED1" w:rsidP="00636ED1">
      <w:pPr>
        <w:spacing w:line="240" w:lineRule="auto"/>
        <w:ind w:left="2127"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Pr="00636ED1" w:rsidRDefault="00636ED1" w:rsidP="00636ED1">
      <w:pPr>
        <w:spacing w:line="240" w:lineRule="auto"/>
        <w:ind w:left="6521" w:right="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636ED1" w:rsidRPr="00636ED1" w:rsidRDefault="00636ED1" w:rsidP="00636ED1">
      <w:pPr>
        <w:spacing w:line="240" w:lineRule="auto"/>
        <w:ind w:left="6521" w:right="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Приказ Министерства</w:t>
      </w:r>
    </w:p>
    <w:p w:rsidR="00636ED1" w:rsidRPr="00636ED1" w:rsidRDefault="00636ED1" w:rsidP="00636ED1">
      <w:pPr>
        <w:spacing w:line="240" w:lineRule="auto"/>
        <w:ind w:left="6521" w:right="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здравоохранения</w:t>
      </w:r>
    </w:p>
    <w:p w:rsidR="00636ED1" w:rsidRPr="00636ED1" w:rsidRDefault="00636ED1" w:rsidP="00636ED1">
      <w:pPr>
        <w:spacing w:line="240" w:lineRule="auto"/>
        <w:ind w:left="6521" w:right="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636ED1" w:rsidRPr="00636ED1" w:rsidRDefault="00636ED1" w:rsidP="00636ED1">
      <w:pPr>
        <w:spacing w:line="240" w:lineRule="auto"/>
        <w:ind w:left="6521" w:right="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31.05.2012 N 669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Pr="00636ED1" w:rsidRDefault="00636ED1" w:rsidP="00636ED1">
      <w:pPr>
        <w:spacing w:line="240" w:lineRule="auto"/>
        <w:ind w:right="1" w:firstLine="709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1" w:name="Par23"/>
      <w:bookmarkEnd w:id="1"/>
      <w:r w:rsidRPr="00636ED1">
        <w:rPr>
          <w:rFonts w:ascii="Times New Roman" w:hAnsi="Times New Roman" w:cs="Times New Roman"/>
          <w:b/>
          <w:bCs/>
          <w:sz w:val="30"/>
          <w:szCs w:val="30"/>
        </w:rPr>
        <w:t>ИНСТРУКЦИЯ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36ED1">
        <w:rPr>
          <w:rFonts w:ascii="Times New Roman" w:hAnsi="Times New Roman" w:cs="Times New Roman"/>
          <w:b/>
          <w:bCs/>
          <w:sz w:val="30"/>
          <w:szCs w:val="30"/>
        </w:rPr>
        <w:t>ОБ ОРГАНИЗАЦИИ ОКАЗАНИЯ МЕДИЦИНСКОЙ ПОМОЩИ ДЕТЯМ В УЧРЕЖДЕНИЯХ ОБРАЗОВАНИЯ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Pr="00636ED1" w:rsidRDefault="00636ED1" w:rsidP="00636ED1">
      <w:pPr>
        <w:spacing w:line="240" w:lineRule="auto"/>
        <w:ind w:right="1"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1. Инструкция об организации оказания медицинской помощи детям в учреждениях образования (далее - Инструкция) разработана во исполнение </w:t>
      </w:r>
      <w:hyperlink r:id="rId5" w:history="1">
        <w:r w:rsidRPr="00636ED1">
          <w:rPr>
            <w:rStyle w:val="a3"/>
            <w:rFonts w:ascii="Times New Roman" w:hAnsi="Times New Roman" w:cs="Times New Roman"/>
            <w:sz w:val="30"/>
            <w:szCs w:val="30"/>
          </w:rPr>
          <w:t>Указа</w:t>
        </w:r>
      </w:hyperlink>
      <w:r w:rsidRPr="00636ED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5 января 2012 г. N 10 "О совершенствовании порядка оказания медицинской помощи обучающимся" и в целях рационального использования кадрового потенциала организаций здравоохранения, а также совершенствования оказания медицинской помощи детям в учреждениях образования.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2. Ответственность за организацию оказания медицинской помощи детям в учреждениях образования несет руководитель территориальной организации здравоохранения.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3. Количество должностей медицинских работников выделяется в соответствии с примерными штатными нормативами, утвержденными Министерством здравоохранения Республики Беларусь (далее Министерство).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4. Оказание медицинской помощи детям в учреждениях образования осуществляется медицинскими работниками территориальных организаций здравоохранения в составе: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педиатрических отделений детских поликлиник (взрослых поликлиник);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педиатрических отделений по медицинскому обеспечению детей в учреждениях образования детских поликлиник (взрослых поликлиник);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педиатрических отделений или других структурных подразделений центральных районных (городских) больниц (поликлиник).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5. Заведующие указанными выше структурными подразделениями (врач-педиатр районный, заместитель руководителя территориальной организации здравоохранения) в пределах своих функциональных обязанностей обеспечивают организацию оказания медицинской помощи детям в учреждениях образования.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lastRenderedPageBreak/>
        <w:t>6. Основной задачей медицинских работников указанных выше структурных подразделений является организация и оказание медицинской помощи детям в учреждениях образования.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Организация работы проводится в соответствии с нормативными правовыми актами и иными правовыми актами Республики Беларусь, Министерства здравоохранения Республики Беларусь, других органов управления здравоохранения, Уставом организации здравоохранения, приказами руководителя, должностными инструкциями, правилами внутреннего трудового распорядка.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Оказание медицинской помощи осуществляется в медицинских кабинетах (пунктах), расположенных на базе учреждений образования, которые оснащаются в соответствии с </w:t>
      </w:r>
      <w:hyperlink w:anchor="Par159" w:history="1">
        <w:r w:rsidRPr="00636ED1">
          <w:rPr>
            <w:rStyle w:val="a3"/>
            <w:rFonts w:ascii="Times New Roman" w:hAnsi="Times New Roman" w:cs="Times New Roman"/>
            <w:sz w:val="30"/>
            <w:szCs w:val="30"/>
          </w:rPr>
          <w:t>приложением 1</w:t>
        </w:r>
      </w:hyperlink>
      <w:r w:rsidRPr="00636ED1">
        <w:rPr>
          <w:rFonts w:ascii="Times New Roman" w:hAnsi="Times New Roman" w:cs="Times New Roman"/>
          <w:sz w:val="30"/>
          <w:szCs w:val="30"/>
        </w:rPr>
        <w:t xml:space="preserve"> к настоящей Инструкции.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7. В соответствии с основной задачей медицинский персонал в учреждениях образования выполняет следующие функции: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проводит работу по формированию у детей потребности в здоровом образе жизни, профилактическую работу с законными представителями ребенка, педагогическим коллективом;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обеспечивает динамическое медицинское наблюдение за условиями обучения и воспитания детей и подростков в организованных коллективах;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совместно с администрацией учреждения образования участвует в разработке мер по снижению заболеваемости, травматизма и укреплению здоровья детей;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совместно с руководителем учреждения образования, территориальным центром гигиены и эпидемиологии обеспечивает соблюдение санитарных норм, правил и гигиенических нормативов в учреждениях образования, в том числе участвует в организации питания и осуществлении контрольных мероприятий по названным направлениям деятельности;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совместно с территориальным центром гигиены и эпидемиологии проводит противоэпидемические мероприятия, включая периодический осмотр обучающихся на педикулез и заразные кожные заболевания;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оказывает первичную доврачебную, врачебную (при наличии в штате врача) неотложную медицинскую помощь в медицинских кабинетах (пунктах) учреждений образования;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организует доставку детей в центральные районные (городские) больницы (поликлиники), а в детских домах, школах-интернатах для детей-сирот и детей, оставшихся без попечения родителей, иных учреждениях с круглосуточным пребыванием детей осуществляет сопровождение детей в период госпитализации или консультирования в районных (городских), областных и республиканских учреждениях здравоохранения;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lastRenderedPageBreak/>
        <w:t xml:space="preserve">организует и осуществляет контроль за проведением (при наличии соответствующих условий) иммунопрофилактики и </w:t>
      </w:r>
      <w:proofErr w:type="spellStart"/>
      <w:r w:rsidRPr="00636ED1">
        <w:rPr>
          <w:rFonts w:ascii="Times New Roman" w:hAnsi="Times New Roman" w:cs="Times New Roman"/>
          <w:sz w:val="30"/>
          <w:szCs w:val="30"/>
        </w:rPr>
        <w:t>туберкулинодиагностики</w:t>
      </w:r>
      <w:proofErr w:type="spellEnd"/>
      <w:r w:rsidRPr="00636ED1">
        <w:rPr>
          <w:rFonts w:ascii="Times New Roman" w:hAnsi="Times New Roman" w:cs="Times New Roman"/>
          <w:sz w:val="30"/>
          <w:szCs w:val="30"/>
        </w:rPr>
        <w:t xml:space="preserve"> у детей;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ведет установленную медицинскую учетную и отчетную документацию.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8. Медицинские работники, оказывающие медицинскую помощь детям в учреждениях образования, при выполнении мероприятий по охране здоровья детей и подростков взаимодействуют: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с руководителями и специалистами структурных подразделений организаций здравоохранения по вопросам организации оказания медицинской помощи детям в учреждениях образования;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с родителями (законными представителями) ребенка по вопросам, связанным с оказанием медицинской помощи, формированием потребности в здоровом образе жизни, сохранении репродуктивного здоровья, профессиональной ориентации;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с руководителями и работниками учреждений образования по вопросам организации медицинского контроля </w:t>
      </w:r>
      <w:proofErr w:type="spellStart"/>
      <w:r w:rsidRPr="00636ED1">
        <w:rPr>
          <w:rFonts w:ascii="Times New Roman" w:hAnsi="Times New Roman" w:cs="Times New Roman"/>
          <w:sz w:val="30"/>
          <w:szCs w:val="30"/>
        </w:rPr>
        <w:t>здоровьесберегающих</w:t>
      </w:r>
      <w:proofErr w:type="spellEnd"/>
      <w:r w:rsidRPr="00636ED1">
        <w:rPr>
          <w:rFonts w:ascii="Times New Roman" w:hAnsi="Times New Roman" w:cs="Times New Roman"/>
          <w:sz w:val="30"/>
          <w:szCs w:val="30"/>
        </w:rPr>
        <w:t xml:space="preserve"> условий обучения и воспитания детей, организации питания, оздоровительных и закаливающих мероприятий, физического воспитания, санитарно-просветительной работы по формированию здорового образа жизни;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с органами опеки и попечительства по работе в пределах своей компетенции с несовершеннолетними, находящимися в социально опасном положении.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9. Обеспечение оказания медицинской помощи детям в учреждениях образования определяется договором между территориальной организацией здравоохранения и местными органами управления образованием (непосредственно учреждением образования) (далее - договор) в соответствии с законодательством.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10. Фактический объем работ, выполняемых медицинскими работниками в учреждениях образования, зависит от типа (вида) учреждения образования, численности групп (классов), возраста и контингента детей, режима работы учреждения образования.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Должностные инструкции медицинских работников, разработанные в соответствии с настоящей Инструкцией, и график работы медицинского работника в учреждении образования утверждаются руководителем соответствующей организации здравоохранения по согласованию с руководителем учреждения образования.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11. Приобретение лекарственных средств осуществляется территориальной организацией здравоохранения: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lastRenderedPageBreak/>
        <w:t>для формирования укладок по оказанию неотложной помощи воспитанникам учреждений образования с круглосуточным пребыванием детей;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для оснащения медицинского кабинета учреждения образования лекарственными и дезинфицирующими средствами в соответствии с </w:t>
      </w:r>
      <w:hyperlink w:anchor="Par313" w:history="1">
        <w:r w:rsidRPr="00636ED1">
          <w:rPr>
            <w:rStyle w:val="a3"/>
            <w:rFonts w:ascii="Times New Roman" w:hAnsi="Times New Roman" w:cs="Times New Roman"/>
            <w:sz w:val="30"/>
            <w:szCs w:val="30"/>
          </w:rPr>
          <w:t>приложением 2</w:t>
        </w:r>
      </w:hyperlink>
      <w:r w:rsidRPr="00636ED1">
        <w:rPr>
          <w:rFonts w:ascii="Times New Roman" w:hAnsi="Times New Roman" w:cs="Times New Roman"/>
          <w:sz w:val="30"/>
          <w:szCs w:val="30"/>
        </w:rPr>
        <w:t xml:space="preserve"> к настоящей Инструкции;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для получения лечения по назначению врача, в том числе при нахождении на постоянной заместительной терапии, в детских домах, школах-интернатах для детей-сирот и детей, оставшихся без попечения родителей, иных учреждениях образования с круглосуточным пребыванием.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12. В медицинском кабинете (пункте) формируется аптечка в соответствии с </w:t>
      </w:r>
      <w:hyperlink w:anchor="Par313" w:history="1">
        <w:r w:rsidRPr="00636ED1">
          <w:rPr>
            <w:rStyle w:val="a3"/>
            <w:rFonts w:ascii="Times New Roman" w:hAnsi="Times New Roman" w:cs="Times New Roman"/>
            <w:sz w:val="30"/>
            <w:szCs w:val="30"/>
          </w:rPr>
          <w:t>приложением 2</w:t>
        </w:r>
      </w:hyperlink>
      <w:r w:rsidRPr="00636ED1">
        <w:rPr>
          <w:rFonts w:ascii="Times New Roman" w:hAnsi="Times New Roman" w:cs="Times New Roman"/>
          <w:sz w:val="30"/>
          <w:szCs w:val="30"/>
        </w:rPr>
        <w:t xml:space="preserve"> к настоящей Инструкции.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Комплектация аптечки проводится территориальной организацией здравоохранения. Ответственность за своевременность подачи требований по дооснащению аптечки, контроль за сроками годности лекарственных средств возлагается на медицинского работника.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13. Медицинский работник несет ответственность за своевременность подачи заявки на метрологическую поверку оборудования и его ремонт. Метрологическая поверка, ремонт оборудования, находящегося в медицинских кабинетах (пунктах) учреждений образования, осуществляется территориальной организацией здравоохранения в установленном законодательством порядке.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14. В медицинском кабинете (пункте) учреждений образования с круглосуточным пребыванием детей формируются укладки с алгоритмами действий медицинского работника по оказанию неотложной помощи при возникновении следующих состояний: гипертермия, судорожный синдром, </w:t>
      </w:r>
      <w:proofErr w:type="spellStart"/>
      <w:r w:rsidRPr="00636ED1">
        <w:rPr>
          <w:rFonts w:ascii="Times New Roman" w:hAnsi="Times New Roman" w:cs="Times New Roman"/>
          <w:sz w:val="30"/>
          <w:szCs w:val="30"/>
        </w:rPr>
        <w:t>бронхообструктивный</w:t>
      </w:r>
      <w:proofErr w:type="spellEnd"/>
      <w:r w:rsidRPr="00636ED1">
        <w:rPr>
          <w:rFonts w:ascii="Times New Roman" w:hAnsi="Times New Roman" w:cs="Times New Roman"/>
          <w:sz w:val="30"/>
          <w:szCs w:val="30"/>
        </w:rPr>
        <w:t xml:space="preserve"> синдром, </w:t>
      </w:r>
      <w:proofErr w:type="spellStart"/>
      <w:r w:rsidRPr="00636ED1">
        <w:rPr>
          <w:rFonts w:ascii="Times New Roman" w:hAnsi="Times New Roman" w:cs="Times New Roman"/>
          <w:sz w:val="30"/>
          <w:szCs w:val="30"/>
        </w:rPr>
        <w:t>стенозирующий</w:t>
      </w:r>
      <w:proofErr w:type="spellEnd"/>
      <w:r w:rsidRPr="00636ED1">
        <w:rPr>
          <w:rFonts w:ascii="Times New Roman" w:hAnsi="Times New Roman" w:cs="Times New Roman"/>
          <w:sz w:val="30"/>
          <w:szCs w:val="30"/>
        </w:rPr>
        <w:t xml:space="preserve"> ларинготрахеит, анафилактический шок, гипогликемия; аптечка для профилактики профессионального заражения ВИЧ, </w:t>
      </w:r>
      <w:proofErr w:type="spellStart"/>
      <w:r w:rsidRPr="00636ED1">
        <w:rPr>
          <w:rFonts w:ascii="Times New Roman" w:hAnsi="Times New Roman" w:cs="Times New Roman"/>
          <w:sz w:val="30"/>
          <w:szCs w:val="30"/>
        </w:rPr>
        <w:t>противопедикулезная</w:t>
      </w:r>
      <w:proofErr w:type="spellEnd"/>
      <w:r w:rsidRPr="00636ED1">
        <w:rPr>
          <w:rFonts w:ascii="Times New Roman" w:hAnsi="Times New Roman" w:cs="Times New Roman"/>
          <w:sz w:val="30"/>
          <w:szCs w:val="30"/>
        </w:rPr>
        <w:t xml:space="preserve"> укладка, средства для оказания первичной (доврачебной) медицинской помощи при кровотечениях, травмах, переломах.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При обеспечении медицинского сопровождения участия детей в массовых мероприятиях, на госпитализацию или консультацию в организации здравоохранения формируется транспортная укладка.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66"/>
      <w:bookmarkEnd w:id="2"/>
      <w:r w:rsidRPr="00636ED1">
        <w:rPr>
          <w:rFonts w:ascii="Times New Roman" w:hAnsi="Times New Roman" w:cs="Times New Roman"/>
          <w:sz w:val="30"/>
          <w:szCs w:val="30"/>
        </w:rPr>
        <w:t xml:space="preserve">15. При нахождении ребенка на постоянной заместительной терапии или при получении им каких-либо лекарственных средств по назначению врача медицинский работник выполняет данные назначения или создает условия для их выполнения при предоставлении родителями либо законными представителями ребенка (за исключением руководителей детских </w:t>
      </w:r>
      <w:proofErr w:type="spellStart"/>
      <w:r w:rsidRPr="00636ED1">
        <w:rPr>
          <w:rFonts w:ascii="Times New Roman" w:hAnsi="Times New Roman" w:cs="Times New Roman"/>
          <w:sz w:val="30"/>
          <w:szCs w:val="30"/>
        </w:rPr>
        <w:t>интернатных</w:t>
      </w:r>
      <w:proofErr w:type="spellEnd"/>
      <w:r w:rsidRPr="00636ED1">
        <w:rPr>
          <w:rFonts w:ascii="Times New Roman" w:hAnsi="Times New Roman" w:cs="Times New Roman"/>
          <w:sz w:val="30"/>
          <w:szCs w:val="30"/>
        </w:rPr>
        <w:t xml:space="preserve"> учреждений) лекарственных средств и расходных материалов, а </w:t>
      </w:r>
      <w:r w:rsidRPr="00636ED1">
        <w:rPr>
          <w:rFonts w:ascii="Times New Roman" w:hAnsi="Times New Roman" w:cs="Times New Roman"/>
          <w:sz w:val="30"/>
          <w:szCs w:val="30"/>
        </w:rPr>
        <w:lastRenderedPageBreak/>
        <w:t>также соответствующего заявления на прием лекарственных средств на основании заключения врача.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16. В медицинском кабинете ведется следующая медицинская документация: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журнал регистрации амбулаторных пациентов </w:t>
      </w:r>
      <w:hyperlink r:id="rId6" w:history="1">
        <w:r w:rsidRPr="00636ED1">
          <w:rPr>
            <w:rStyle w:val="a3"/>
            <w:rFonts w:ascii="Times New Roman" w:hAnsi="Times New Roman" w:cs="Times New Roman"/>
            <w:sz w:val="30"/>
            <w:szCs w:val="30"/>
          </w:rPr>
          <w:t>(форма N 074/у)</w:t>
        </w:r>
      </w:hyperlink>
      <w:r w:rsidRPr="00636ED1">
        <w:rPr>
          <w:rFonts w:ascii="Times New Roman" w:hAnsi="Times New Roman" w:cs="Times New Roman"/>
          <w:sz w:val="30"/>
          <w:szCs w:val="30"/>
        </w:rPr>
        <w:t>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журнал учета инфекционных заболеваний, пищевых отравлений, осложнений после прививки </w:t>
      </w:r>
      <w:hyperlink r:id="rId7" w:history="1">
        <w:r w:rsidRPr="00636ED1">
          <w:rPr>
            <w:rStyle w:val="a3"/>
            <w:rFonts w:ascii="Times New Roman" w:hAnsi="Times New Roman" w:cs="Times New Roman"/>
            <w:sz w:val="30"/>
            <w:szCs w:val="30"/>
          </w:rPr>
          <w:t>(форма N 060/у)</w:t>
        </w:r>
      </w:hyperlink>
      <w:r w:rsidRPr="00636ED1">
        <w:rPr>
          <w:rFonts w:ascii="Times New Roman" w:hAnsi="Times New Roman" w:cs="Times New Roman"/>
          <w:sz w:val="30"/>
          <w:szCs w:val="30"/>
        </w:rPr>
        <w:t>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журнал учета санитарно-просветительной работы </w:t>
      </w:r>
      <w:hyperlink r:id="rId8" w:history="1">
        <w:r w:rsidRPr="00636ED1">
          <w:rPr>
            <w:rStyle w:val="a3"/>
            <w:rFonts w:ascii="Times New Roman" w:hAnsi="Times New Roman" w:cs="Times New Roman"/>
            <w:sz w:val="30"/>
            <w:szCs w:val="30"/>
          </w:rPr>
          <w:t>(форма N 038/у)</w:t>
        </w:r>
      </w:hyperlink>
      <w:r w:rsidRPr="00636ED1">
        <w:rPr>
          <w:rFonts w:ascii="Times New Roman" w:hAnsi="Times New Roman" w:cs="Times New Roman"/>
          <w:sz w:val="30"/>
          <w:szCs w:val="30"/>
        </w:rPr>
        <w:t>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журнал учета температуры в холодильнике;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журнал изолятора.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Бухгалтерская документация ведется в соответствии с действующим законодательством.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При организации и проведении иммунопрофилактики и </w:t>
      </w:r>
      <w:proofErr w:type="spellStart"/>
      <w:r w:rsidRPr="00636ED1">
        <w:rPr>
          <w:rFonts w:ascii="Times New Roman" w:hAnsi="Times New Roman" w:cs="Times New Roman"/>
          <w:sz w:val="30"/>
          <w:szCs w:val="30"/>
        </w:rPr>
        <w:t>туберкулинодиагностики</w:t>
      </w:r>
      <w:proofErr w:type="spellEnd"/>
      <w:r w:rsidRPr="00636ED1">
        <w:rPr>
          <w:rFonts w:ascii="Times New Roman" w:hAnsi="Times New Roman" w:cs="Times New Roman"/>
          <w:sz w:val="30"/>
          <w:szCs w:val="30"/>
        </w:rPr>
        <w:t xml:space="preserve"> медицинскими работниками на базе медицинских кабинетов учреждений образования ведется соответствующая медицинская документация.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17. Вопросы организации медицинской помощи в учреждениях образования ежегодно рассматриваются на заседании медико-санитарного совета территориальной организации здравоохранения с участием руководителей учреждений образования.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Вопросы состояния здоровья детей, обучающихся в учреждениях образования, не менее двух раз в год должны рассматриваться на педагогических советах учреждения образования и родительских собраниях.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18. При возникновении производственной необходимости в установленном законодательством порядке может осуществляться перераспределение функциональных обязанностей между медицинскими работниками в учреждениях образования.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19. Примерный объем работ, выполняемых в учреждениях образования медицинскими работниками со средним специальным образованием: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организационного характера: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ведение установленной медицинской учетно-отчетной документации;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учет и хранение медицинского оборудования, изделий медицинского назначения, лекарственных средств;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в дошкольных учреждениях контроль ежедневного утреннего приема детей, проводимого воспитателями группы;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участие в организации и контроле совместно с руководителем учреждения образования санитарно-эпидемиологического режима, режима дня, питания, санитарного состояния помещений (пищеблока, учебных классов, игровых, спальных помещений, физкультурного зала, территории), занятий физической культурой;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lastRenderedPageBreak/>
        <w:t>- выполнение положений должностной инструкции;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проведение инструктажа с персоналом учреждений образования по соблюдению санитарно-эпидемиологического режима;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оказание в пределах компетенции помощи администрации и коллективу учреждения образования в решении задач по сохранению и укреплению здоровья детей;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осуществление контроля совместно с администрацией учреждения образования и территориальным центром гигиены и эпидемиологии в организации питания в учреждениях образования;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- участие совместно с руководителем учреждения образования и иными работниками в организации </w:t>
      </w:r>
      <w:proofErr w:type="gramStart"/>
      <w:r w:rsidRPr="00636ED1">
        <w:rPr>
          <w:rFonts w:ascii="Times New Roman" w:hAnsi="Times New Roman" w:cs="Times New Roman"/>
          <w:sz w:val="30"/>
          <w:szCs w:val="30"/>
        </w:rPr>
        <w:t>питания</w:t>
      </w:r>
      <w:proofErr w:type="gramEnd"/>
      <w:r w:rsidRPr="00636ED1">
        <w:rPr>
          <w:rFonts w:ascii="Times New Roman" w:hAnsi="Times New Roman" w:cs="Times New Roman"/>
          <w:sz w:val="30"/>
          <w:szCs w:val="30"/>
        </w:rPr>
        <w:t xml:space="preserve"> обучающихся в соответствии с действующими санитарными нормами, правилами и гигиеническими нормативами и должностными инструкциями;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участие в организации летнего оздоровления детей;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выполняет иные функции в строгом соответствии с действующими Санитарными нормами, правилами и гигиеническими нормативами;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организация оказания медицинской помощи: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выполнение поручений и назначений врача по всем аспектам организации оказания медицинской помощи детям в учреждениях образования;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выполнение врачебных назначений по лечению детей с заболеваниями, не препятствующими нахождению в учреждениях образования;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осмотр детей при подозрении на острое заболевание и детей, находящихся в изоляторе;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оказание доврачебной медицинской помощи, в том числе неотложной, при угрожающих жизни состояниях;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организация оказания врачебной помощи, госпитализации ребенка в стационарную организацию здравоохранения, вызов бригады скорой медицинской помощи; для учреждений с круглосуточным пребыванием детей - сопровождение на госпитализацию и консультацию в государственные организации здравоохранения, в том числе областного и республиканского уровня;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информирование родителей и законных представителей ребенка о случае заболевания ребенка во время пребывания в учреждении образования;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периодические осмотры детей на наличие заразных кожных заболеваний, педикулеза;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организация и проведение осмотров всех вновь поступивших детей с определением совместно с коллективом учреждения образования комплекса мероприятий, направленных на благоприятное течение периода адаптации;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профилактическая и санитарно-просветительная работа: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lastRenderedPageBreak/>
        <w:t>- оздоровительно-профилактические мероприятия, направленные на предупреждение заболеваний и травм, закаливание детей и формирование у них основ здорового образа жизни;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представление рекомендаций родителям либо законным представителям ребенка по здоровому образу жизни, закаливанию и оздоровлению ребенка с учетом его возраста, состояния здоровья и особенностей развития;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проведение совместно с территориальными центрами гигиены и эпидемиологии противоэпидемических мероприятий при возникновении инфекционных заболеваний;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санитарно-просветительская работа с детьми, сотрудниками учреждений образования и законными представителями ребенка;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обеспечение защиты прав детей (в пределах компетентности): выявление детей, находящихся в социально опасном положении, пострадавших от жесткого обращения с ними, детей, нуждающихся в государственной защите, и передача сведений об этих детях в территориальную организацию здравоохранения и руководителю учреждения образования.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20. Объем работ, выполняемых врачом-педиатром, в учреждениях образования: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организационного характера: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руководство работой медицинского персонала со средним специальным медицинским образованием по всему объему выполняемых ими работ при организации медицинской помощи детям в учреждении образования;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ведение установленной учетно-отчетной медицинской документации, контроль качества ее ведения медицинским работником со средним медицинским образованием;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анализ результатов медицинского осмотра детей, информирование руководства учреждения образования о состоянии и динамике их здоровья и разработка комплекса мер, направленных на укрепление и сохранение здоровья детей;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контроль организации питания в учреждениях образования;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обеспечение преемственности между территориальной организацией здравоохранения, учреждением образования и другими заинтересованными органами по вопросам здоровья детей;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обеспечение врачебного сопровождения при организации физического воспитания и закаливания детей (совместно с руководителем учреждения образования);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организация оказания медицинской помощи: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- амбулаторный прием детей, оказание им врачебной, в том числе неотложной, медицинской помощи и организация, при необходимости, </w:t>
      </w:r>
      <w:r w:rsidRPr="00636ED1">
        <w:rPr>
          <w:rFonts w:ascii="Times New Roman" w:hAnsi="Times New Roman" w:cs="Times New Roman"/>
          <w:sz w:val="30"/>
          <w:szCs w:val="30"/>
        </w:rPr>
        <w:lastRenderedPageBreak/>
        <w:t>оказания специализированной медицинской помощи, госпитализации ребенка в стационарную организацию здравоохранения;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медицинский осмотр детей, в том числе находящихся в изоляторе, назначение соответствующих лечебно-диагностических, оздоровительных, реабилитационных мероприятий;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организация и проведение медицинских профилактических осмотров детей с оценкой группы здоровья, физического развития и группы по физической культуре (в зависимости от типа и / или вида учреждения);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проведение совместно с работниками учреждения образования в пределах своей компетенции работы по профессиональной ориентации школьников;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участие в организации летнего оздоровления детей.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21. Объем работ, выполняемых профильным специалистом (врачом-стоматологом, врачом-психотерапевтом, врачом-физиотерапевтом, врачом-травматологом-ортопедом, врачом-</w:t>
      </w:r>
      <w:proofErr w:type="spellStart"/>
      <w:r w:rsidRPr="00636ED1">
        <w:rPr>
          <w:rFonts w:ascii="Times New Roman" w:hAnsi="Times New Roman" w:cs="Times New Roman"/>
          <w:sz w:val="30"/>
          <w:szCs w:val="30"/>
        </w:rPr>
        <w:t>оториноларингологом</w:t>
      </w:r>
      <w:proofErr w:type="spellEnd"/>
      <w:r w:rsidRPr="00636ED1">
        <w:rPr>
          <w:rFonts w:ascii="Times New Roman" w:hAnsi="Times New Roman" w:cs="Times New Roman"/>
          <w:sz w:val="30"/>
          <w:szCs w:val="30"/>
        </w:rPr>
        <w:t>, врачом-психиатром, врачом-онкологом, психологом, логопедом и другими врачами специалистами), в учреждениях образования дополняется соответствующими положениями по специальности с учетом его фактической занятости, а также в зависимости от типа и / или вида учреждения.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22. При круглосуточном нахождении детей в учреждении образования (школы-интернаты, детские дома, гимназии-интернаты, кадетские училища и др.) объем работ врача-педиатра дополняется следующими положениями: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организация диспансерного наблюдения детей;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контроль состояния их здоровья, в том числе после вакцинации, выписки из стационарных организаций здравоохранения и учреждений оздоровления;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организация и проведение консультаций, амбулаторного лечения, лечения в изоляторе, реабилитационных мероприятий;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организация медицинского сопровождения групп детей при проведении массовых мероприятий.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23. В санаторных школах-интернатах примерный объем работ, определенный </w:t>
      </w:r>
      <w:hyperlink w:anchor="Par66" w:history="1">
        <w:r w:rsidRPr="00636ED1">
          <w:rPr>
            <w:rStyle w:val="a3"/>
            <w:rFonts w:ascii="Times New Roman" w:hAnsi="Times New Roman" w:cs="Times New Roman"/>
            <w:sz w:val="30"/>
            <w:szCs w:val="30"/>
          </w:rPr>
          <w:t>пунктом 15</w:t>
        </w:r>
      </w:hyperlink>
      <w:r w:rsidRPr="00636ED1">
        <w:rPr>
          <w:rFonts w:ascii="Times New Roman" w:hAnsi="Times New Roman" w:cs="Times New Roman"/>
          <w:sz w:val="30"/>
          <w:szCs w:val="30"/>
        </w:rPr>
        <w:t>, дополняется положениями по организации проведения диагностических, лечебно-оздоровительных и реабилитационных мероприятий по каждому профилю соответственно.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24. Примерный объем работ, выполняемых в учреждениях образования с круглосуточным пребыванием детей, медицинской сестрой-диетологом: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выполнение функциональных обязанностей медицинской сестры-диетолога предполагает: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ведение установленной документации;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контроль прохождения сотрудниками пищеблока медицинских осмотров;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 xml:space="preserve">- участие в работе </w:t>
      </w:r>
      <w:proofErr w:type="spellStart"/>
      <w:r w:rsidRPr="00636ED1">
        <w:rPr>
          <w:rFonts w:ascii="Times New Roman" w:hAnsi="Times New Roman" w:cs="Times New Roman"/>
          <w:sz w:val="30"/>
          <w:szCs w:val="30"/>
        </w:rPr>
        <w:t>бракеражной</w:t>
      </w:r>
      <w:proofErr w:type="spellEnd"/>
      <w:r w:rsidRPr="00636ED1">
        <w:rPr>
          <w:rFonts w:ascii="Times New Roman" w:hAnsi="Times New Roman" w:cs="Times New Roman"/>
          <w:sz w:val="30"/>
          <w:szCs w:val="30"/>
        </w:rPr>
        <w:t xml:space="preserve"> комиссии;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lastRenderedPageBreak/>
        <w:t>- участие в разработке меню-раскладки и составлении ежедневного меню на основании примерного двухнедельного меню;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анализ выполнения натуральных норм основных продуктов с последующей корректировкой меню;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проведение С-витаминизации готовых блюд;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организацию индивидуального диетического питания детей на основании заключения врача;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анализ данных по организации питания детей в учреждении образования и представление информации руководителю организации здравоохранения и учреждения образования;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при необходимости оказание доврачебной медицинской помощи;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совместно с администрацией учреждения образования осуществляет контроль: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соблюдения санитарных норм, правил и гигиенических нормативов при организации питания детей;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санитарного состояния пищеблока;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качества доставляемых продуктов, правил хранения и сроков реализации;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закладки продуктов питания и выхода блюд, отпуск продуктов из пищеблока;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соблюдения технологии приготовления и качества пищи;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соблюдения графика выдачи пищи на пищеблоке;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ведения журнала "Здоровье";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 укомплектованности аптечки первой медицинской помощи на пищеблоке;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выполняет иные функции по организации питания в строгом соответствии с действующими Санитарными нормами, правилами и гигиеническими нормативами.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Pr="00636ED1" w:rsidRDefault="00636ED1" w:rsidP="00636ED1">
      <w:pPr>
        <w:spacing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Pr="00636ED1" w:rsidRDefault="00636ED1" w:rsidP="00636ED1">
      <w:pPr>
        <w:spacing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Pr="00636ED1" w:rsidRDefault="00636ED1" w:rsidP="00636ED1">
      <w:pPr>
        <w:spacing w:line="240" w:lineRule="auto"/>
        <w:ind w:left="5954" w:right="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636ED1" w:rsidRPr="00636ED1" w:rsidRDefault="00636ED1" w:rsidP="00636ED1">
      <w:pPr>
        <w:spacing w:line="240" w:lineRule="auto"/>
        <w:ind w:left="5954" w:right="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к Инструкции об организации</w:t>
      </w:r>
    </w:p>
    <w:p w:rsidR="00636ED1" w:rsidRPr="00636ED1" w:rsidRDefault="00636ED1" w:rsidP="00636ED1">
      <w:pPr>
        <w:spacing w:line="240" w:lineRule="auto"/>
        <w:ind w:left="5954" w:right="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оказания медицинской помощи</w:t>
      </w:r>
    </w:p>
    <w:p w:rsidR="00636ED1" w:rsidRPr="00636ED1" w:rsidRDefault="00636ED1" w:rsidP="00636ED1">
      <w:pPr>
        <w:spacing w:line="240" w:lineRule="auto"/>
        <w:ind w:left="5954" w:right="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учащимся в учреждениях</w:t>
      </w:r>
    </w:p>
    <w:p w:rsidR="00636ED1" w:rsidRPr="00636ED1" w:rsidRDefault="00636ED1" w:rsidP="00636ED1">
      <w:pPr>
        <w:spacing w:line="240" w:lineRule="auto"/>
        <w:ind w:left="5954" w:right="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образования</w:t>
      </w:r>
    </w:p>
    <w:p w:rsidR="00636ED1" w:rsidRPr="00636ED1" w:rsidRDefault="00636ED1" w:rsidP="00636ED1">
      <w:pPr>
        <w:spacing w:line="240" w:lineRule="auto"/>
        <w:ind w:left="5954" w:right="1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Pr="00636ED1" w:rsidRDefault="00636ED1" w:rsidP="00636ED1">
      <w:pPr>
        <w:spacing w:line="240" w:lineRule="auto"/>
        <w:ind w:left="-142" w:right="1" w:firstLine="851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bookmarkStart w:id="3" w:name="Par159"/>
      <w:bookmarkEnd w:id="3"/>
      <w:r w:rsidRPr="00636ED1">
        <w:rPr>
          <w:rFonts w:ascii="Times New Roman" w:hAnsi="Times New Roman" w:cs="Times New Roman"/>
          <w:sz w:val="30"/>
          <w:szCs w:val="30"/>
        </w:rPr>
        <w:t>ПРИМЕРНЫЙ ТАБЕЛЬ</w:t>
      </w:r>
    </w:p>
    <w:p w:rsidR="00636ED1" w:rsidRPr="00636ED1" w:rsidRDefault="00636ED1" w:rsidP="00636ED1">
      <w:pPr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ОСНАЩЕНИЕ МЕДИЦИНСКОГО КАБИНЕТА / ПУНКТА В УЧРЕЖДЕНИЯХ ОБРАЗОВАНИЯ</w:t>
      </w:r>
    </w:p>
    <w:p w:rsidR="00636ED1" w:rsidRPr="00636ED1" w:rsidRDefault="00636ED1" w:rsidP="00636ED1">
      <w:pPr>
        <w:spacing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1"/>
        <w:gridCol w:w="5632"/>
        <w:gridCol w:w="3004"/>
      </w:tblGrid>
      <w:tr w:rsidR="00636ED1" w:rsidRPr="00636ED1" w:rsidTr="00DE7FDF">
        <w:trPr>
          <w:trHeight w:val="97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D1" w:rsidRPr="00636ED1" w:rsidRDefault="00636ED1" w:rsidP="00636ED1">
            <w:pPr>
              <w:spacing w:line="240" w:lineRule="auto"/>
              <w:ind w:right="-23" w:firstLine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D1" w:rsidRPr="00636ED1" w:rsidRDefault="00636ED1" w:rsidP="00636ED1">
            <w:pPr>
              <w:spacing w:line="240" w:lineRule="auto"/>
              <w:ind w:right="192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Наименование изделий медицинского назначения и медицинской техники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D1" w:rsidRPr="00636ED1" w:rsidRDefault="00636ED1" w:rsidP="00DE7FDF">
            <w:pPr>
              <w:spacing w:line="240" w:lineRule="auto"/>
              <w:ind w:right="77" w:hanging="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Количество изделий (штук)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ручной вентиляции легких (мешок </w:t>
            </w: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Воздуховод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Грелка резиновая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Дозатор для жидкого мыла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Емкость для термометров и шпателей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Зажим кровоостанавливающий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Зонд желудочный с воронкой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Клеенка медицинская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 метра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круглая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Корнцанг прямой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Кружка </w:t>
            </w: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(резиновая), комплект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смотровая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Лоток (тазик) эмалированный почкообразный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Наборы </w:t>
            </w: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посиндромный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, для оказания скорой и неотложной медицинской помощи (в учреждениях образования для круглосуточного пребывания)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бактерицидный </w:t>
            </w: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настенно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- потолочный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Одноразовые стаканчики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Палочка для йода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Перчатки хирургические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Пинцет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Пипетка глазная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артериального давления (тонометр с разновозрастными манжетами)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Пузырь для льда резиновый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Салфетки стерильные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для переливания крови, кровезаменителей и </w:t>
            </w: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инфузионных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(одноразовая) (в учреждениях образования для круглосуточного пребывания)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Скальпель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Спринцовка с мягким наконечником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Стол, 2 стула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Таблица для определения остроты зрения + осветитель таблиц для определения остроты зрения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Термометр медицинский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Холодильник для хранения медицинских препаратов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Фонендоскоп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Щетка для рук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Шины </w:t>
            </w: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иммобилизационные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Шкаф двухстворчатый для одежды медицинского персонала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Шкаф медицинский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Шпатель одноразовый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Шприц одноразовый 2,0; 5,0; 10,0 мл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по 20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337" w:firstLine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left="213" w:right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Электросушильное устройство или набор одноразовых полотенец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6ED1" w:rsidRDefault="00636ED1" w:rsidP="00636ED1">
      <w:pPr>
        <w:spacing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Pr="00636ED1" w:rsidRDefault="00636ED1" w:rsidP="00636ED1">
      <w:pPr>
        <w:spacing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Pr="00636ED1" w:rsidRDefault="00636ED1" w:rsidP="00636ED1">
      <w:pPr>
        <w:spacing w:line="240" w:lineRule="auto"/>
        <w:ind w:left="6237" w:right="-425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Приложение 2</w:t>
      </w:r>
    </w:p>
    <w:p w:rsidR="00636ED1" w:rsidRPr="00636ED1" w:rsidRDefault="00636ED1" w:rsidP="00636ED1">
      <w:pPr>
        <w:spacing w:line="240" w:lineRule="auto"/>
        <w:ind w:left="6237" w:right="-425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к Инструкции об организации</w:t>
      </w:r>
    </w:p>
    <w:p w:rsidR="00636ED1" w:rsidRPr="00636ED1" w:rsidRDefault="00636ED1" w:rsidP="00636ED1">
      <w:pPr>
        <w:spacing w:line="240" w:lineRule="auto"/>
        <w:ind w:left="6237" w:right="-425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оказания медицинской помощи</w:t>
      </w:r>
    </w:p>
    <w:p w:rsidR="00636ED1" w:rsidRPr="00636ED1" w:rsidRDefault="00636ED1" w:rsidP="00636ED1">
      <w:pPr>
        <w:spacing w:line="240" w:lineRule="auto"/>
        <w:ind w:left="6237" w:right="-425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учащимся в учреждениях</w:t>
      </w:r>
    </w:p>
    <w:p w:rsidR="00636ED1" w:rsidRPr="00636ED1" w:rsidRDefault="00636ED1" w:rsidP="00636ED1">
      <w:pPr>
        <w:spacing w:line="240" w:lineRule="auto"/>
        <w:ind w:left="6237" w:right="-425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образования</w:t>
      </w:r>
    </w:p>
    <w:p w:rsidR="00636ED1" w:rsidRPr="00636ED1" w:rsidRDefault="00636ED1" w:rsidP="00636ED1">
      <w:pPr>
        <w:spacing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Pr="00636ED1" w:rsidRDefault="00636ED1" w:rsidP="00636ED1">
      <w:pPr>
        <w:spacing w:line="240" w:lineRule="auto"/>
        <w:ind w:right="1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bookmarkStart w:id="4" w:name="Par313"/>
      <w:bookmarkEnd w:id="4"/>
      <w:r w:rsidRPr="00636ED1">
        <w:rPr>
          <w:rFonts w:ascii="Times New Roman" w:hAnsi="Times New Roman" w:cs="Times New Roman"/>
          <w:sz w:val="30"/>
          <w:szCs w:val="30"/>
        </w:rPr>
        <w:t>ПЕРЕЧЕНЬ ЛЕКАРСТВЕННЫХ И ДЕЗИНФИЦИРУЮЩИХ СРЕДСТВ ДЛЯ ОСНАЩЕНИЯ МЕДИЦИНСКОГО КАБИНЕТА УЧРЕЖДЕНИЯ ОБРАЗОВАНИЯ</w:t>
      </w:r>
    </w:p>
    <w:p w:rsidR="00636ED1" w:rsidRPr="00636ED1" w:rsidRDefault="00636ED1" w:rsidP="00636ED1">
      <w:pPr>
        <w:spacing w:line="240" w:lineRule="auto"/>
        <w:ind w:right="1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(ИЗ РАСЧЕТА НА 100 ДЕТЕЙ)</w:t>
      </w:r>
    </w:p>
    <w:p w:rsidR="00636ED1" w:rsidRPr="00636ED1" w:rsidRDefault="00636ED1" w:rsidP="00636ED1">
      <w:pPr>
        <w:spacing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5807"/>
        <w:gridCol w:w="1236"/>
        <w:gridCol w:w="1606"/>
      </w:tblGrid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D1" w:rsidRPr="00636ED1" w:rsidRDefault="00636ED1" w:rsidP="00636ED1">
            <w:pPr>
              <w:spacing w:line="240" w:lineRule="auto"/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D1" w:rsidRPr="00636ED1" w:rsidRDefault="00636ED1" w:rsidP="00636ED1">
            <w:pPr>
              <w:spacing w:line="240" w:lineRule="auto"/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Форма выпуска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D1" w:rsidRPr="00636ED1" w:rsidRDefault="00636ED1" w:rsidP="00636ED1">
            <w:pPr>
              <w:spacing w:line="240" w:lineRule="auto"/>
              <w:ind w:right="-425" w:hanging="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36ED1" w:rsidRPr="00636ED1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На 1 учреждение образования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3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Аммиака раствор 10%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3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Атропина сульфат 0,1% - 1 мл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3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Беродуал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аэрозоль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3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Бинт медицинский стерильный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3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Бинт медицинский нестерильный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3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Борная кислота спиртовой р-р 3% - 10 мл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3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 спиртовой р-р 1% - 10 мл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3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Валериана настойка 30 мл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3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Валидол 0,06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Вода для инъекций 5 мл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Гидроперит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0,75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Глюкозы раствор для инъекций 40% - 20,0 мл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Дибазол, раствор для инъекций 1% - 1,0 мл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523" w:history="1">
              <w:r w:rsidRPr="00636E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раствор для инъекций 2,0 мл.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Дротаверина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гидрохлорид, раствор для инъекций 2% - 2 мл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Дротаверина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0,04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Йода раствор спиртовой 5% - 10,0 мл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Калия перманганат, порошок 5,0 (3,0)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Карболен 0,25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Левомеколь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, мазь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Лейкопластырь катушечный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0,01 или </w:t>
            </w: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(супрастин) 0,25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Магния сульфат, раствор для инъекций 25% - 10,0 мл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Марля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Метамизол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натрия (анальгин) 0,5 N 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Метамизола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натрия р-р 50% - 2,0 мл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Метоклопрамид (</w:t>
            </w: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церукал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) 0,01 N 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хлорид, раствор для </w:t>
            </w: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0,9% - 200,0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Нафазолин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, раствор 0,05%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Нитрофурал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(фурацилин) 0,1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Нифуроксазид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Пантенол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спрей, аэрозоль 130,0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Парацетамол 0,5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Педекс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лосьон 0,5% - 60,0 мл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Преднизолон, раствор для инъекций 25 (30) мг/мл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Прокаина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(новокаин) раствор для инъекций 0,5% - 5,0 мл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Септефрил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0,0002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Септоцид-синерджи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Синтомицина линимент 10% - 100,0 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Стрептоцид мазь 10% - 100,0 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Сульфацил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натрий 20%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Фуросемид (лазикс), раствор для инъекций 1% - 1,0 мл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Антисептик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(левомицетин) раствор 0,25% (глазные капли)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(супрастин), раствор для инъекций 2% - 1,0 мл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Цитрамон 0,5 N 6 (N 10)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 xml:space="preserve"> (адреналина гидрохлорид), раствор для инъекций 0,1% - 1,0 мл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ED1" w:rsidRPr="00636E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в укладках для оказания неотложной помощи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D1" w:rsidRPr="00636ED1" w:rsidRDefault="00636ED1" w:rsidP="00636ED1">
            <w:pPr>
              <w:spacing w:line="240" w:lineRule="auto"/>
              <w:ind w:right="-42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1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</w:tbl>
    <w:p w:rsidR="00636ED1" w:rsidRPr="00636ED1" w:rsidRDefault="00636ED1" w:rsidP="00636ED1">
      <w:pPr>
        <w:spacing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Pr="00636ED1" w:rsidRDefault="00636ED1" w:rsidP="00636ED1">
      <w:pPr>
        <w:spacing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36ED1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636ED1" w:rsidRPr="00636ED1" w:rsidRDefault="00636ED1" w:rsidP="00636ED1">
      <w:pPr>
        <w:spacing w:line="240" w:lineRule="auto"/>
        <w:ind w:right="142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5" w:name="Par523"/>
      <w:bookmarkEnd w:id="5"/>
      <w:r w:rsidRPr="00636ED1">
        <w:rPr>
          <w:rFonts w:ascii="Times New Roman" w:hAnsi="Times New Roman" w:cs="Times New Roman"/>
          <w:sz w:val="30"/>
          <w:szCs w:val="30"/>
        </w:rPr>
        <w:t>&lt;*&gt; При выполнении требований к условиям хранения данного препарата.</w:t>
      </w:r>
    </w:p>
    <w:p w:rsidR="00636ED1" w:rsidRPr="00636ED1" w:rsidRDefault="00636ED1" w:rsidP="00636ED1">
      <w:pPr>
        <w:spacing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6ED1" w:rsidRPr="00636ED1" w:rsidRDefault="00636ED1" w:rsidP="00636ED1">
      <w:pPr>
        <w:spacing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51B38" w:rsidRPr="00636ED1" w:rsidRDefault="00751B38" w:rsidP="00636ED1">
      <w:pPr>
        <w:spacing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751B38" w:rsidRPr="00636ED1" w:rsidSect="00636ED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D9"/>
    <w:rsid w:val="0006058F"/>
    <w:rsid w:val="000E53C3"/>
    <w:rsid w:val="002157D9"/>
    <w:rsid w:val="00602A1B"/>
    <w:rsid w:val="00636ED1"/>
    <w:rsid w:val="00751B38"/>
    <w:rsid w:val="009667F3"/>
    <w:rsid w:val="00B86EAA"/>
    <w:rsid w:val="00D51839"/>
    <w:rsid w:val="00D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C305D-A866-4C89-A464-13384181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321EE5932E4ECE96A3FE65E7D8450D3850EBBA3D79BAD86D24B3645303E6CFFBBCB2CFD43F4D3033FA44E4z0N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321EE5932E4ECE96A3FE65E7D8450D3850EBBA3D78B5D86E2AB3645303E6CFFBBCB2CFD43F4D3033FA47EDz0N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321EE5932E4ECE96A3FE65E7D8450D3850EBBA3D73B2DB6027EE6E5B5AEACDFCB3EDD8D376413133FA40zEN0M" TargetMode="External"/><Relationship Id="rId5" Type="http://schemas.openxmlformats.org/officeDocument/2006/relationships/hyperlink" Target="consultantplus://offline/ref=63321EE5932E4ECE96A3FE65E7D8450D3850EBBA3D71B3DA6B2CB839590BBFC3F9BBzBND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3321EE5932E4ECE96A3FE65E7D8450D3850EBBA3D73B7D56A2BB3645303E6CFFBBCB2CFD43F4D3033FA46E5z0N1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3829</Words>
  <Characters>21830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Alekseeva</dc:creator>
  <cp:keywords/>
  <dc:description/>
  <cp:lastModifiedBy>Comp</cp:lastModifiedBy>
  <cp:revision>2</cp:revision>
  <dcterms:created xsi:type="dcterms:W3CDTF">2021-11-24T07:44:00Z</dcterms:created>
  <dcterms:modified xsi:type="dcterms:W3CDTF">2021-11-24T07:44:00Z</dcterms:modified>
</cp:coreProperties>
</file>